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35" w:rsidRPr="00E66235" w:rsidRDefault="00E66235" w:rsidP="00E66235">
      <w:pPr>
        <w:spacing w:after="0" w:line="240" w:lineRule="auto"/>
        <w:jc w:val="center"/>
        <w:rPr>
          <w:rFonts w:eastAsia="Times New Roman" w:cs="Times New Roman"/>
          <w:b/>
          <w:bCs/>
          <w:szCs w:val="24"/>
          <w:lang w:eastAsia="es-CO"/>
        </w:rPr>
      </w:pPr>
    </w:p>
    <w:p w:rsidR="00E66235" w:rsidRPr="00E66235" w:rsidRDefault="00E66235" w:rsidP="00E66235">
      <w:pPr>
        <w:spacing w:after="0" w:line="240" w:lineRule="auto"/>
        <w:jc w:val="center"/>
        <w:rPr>
          <w:rFonts w:eastAsia="Times New Roman" w:cs="Times New Roman"/>
          <w:szCs w:val="24"/>
          <w:lang w:eastAsia="es-CO"/>
        </w:rPr>
      </w:pPr>
      <w:r w:rsidRPr="00E66235">
        <w:rPr>
          <w:rFonts w:eastAsia="Times New Roman" w:cs="Times New Roman"/>
          <w:b/>
          <w:bCs/>
          <w:szCs w:val="24"/>
          <w:lang w:eastAsia="es-CO"/>
        </w:rPr>
        <w:t>OFICIO Nº 636 [006637]</w:t>
      </w:r>
    </w:p>
    <w:p w:rsidR="00E66235" w:rsidRPr="00E66235" w:rsidRDefault="00E66235" w:rsidP="00E66235">
      <w:pPr>
        <w:spacing w:after="0" w:line="240" w:lineRule="auto"/>
        <w:jc w:val="center"/>
        <w:rPr>
          <w:rFonts w:eastAsia="Times New Roman" w:cs="Times New Roman"/>
          <w:szCs w:val="24"/>
          <w:lang w:eastAsia="es-CO"/>
        </w:rPr>
      </w:pPr>
      <w:r w:rsidRPr="00E66235">
        <w:rPr>
          <w:rFonts w:eastAsia="Times New Roman" w:cs="Times New Roman"/>
          <w:b/>
          <w:bCs/>
          <w:szCs w:val="24"/>
          <w:lang w:eastAsia="es-CO"/>
        </w:rPr>
        <w:t>18-03-2019</w:t>
      </w:r>
    </w:p>
    <w:p w:rsidR="00E66235" w:rsidRPr="00E66235" w:rsidRDefault="00E66235" w:rsidP="00E66235">
      <w:pPr>
        <w:spacing w:after="0" w:line="240" w:lineRule="auto"/>
        <w:jc w:val="center"/>
        <w:rPr>
          <w:rFonts w:eastAsia="Times New Roman" w:cs="Times New Roman"/>
          <w:szCs w:val="24"/>
          <w:lang w:eastAsia="es-CO"/>
        </w:rPr>
      </w:pPr>
      <w:r w:rsidRPr="00E66235">
        <w:rPr>
          <w:rFonts w:eastAsia="Times New Roman" w:cs="Times New Roman"/>
          <w:b/>
          <w:bCs/>
          <w:szCs w:val="24"/>
          <w:lang w:eastAsia="es-CO"/>
        </w:rPr>
        <w:t>DIAN</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 </w:t>
      </w:r>
      <w:bookmarkStart w:id="0" w:name="_GoBack"/>
      <w:bookmarkEnd w:id="0"/>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Subdirección de Gestión Normativa y Doctrina</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100208221 – 000636</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Bogotá, D.C.</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proofErr w:type="spellStart"/>
      <w:r w:rsidRPr="00E66235">
        <w:rPr>
          <w:rFonts w:eastAsia="Times New Roman" w:cs="Times New Roman"/>
          <w:b/>
          <w:bCs/>
          <w:szCs w:val="24"/>
          <w:lang w:eastAsia="es-CO"/>
        </w:rPr>
        <w:t>Ref</w:t>
      </w:r>
      <w:proofErr w:type="spellEnd"/>
      <w:r w:rsidRPr="00E66235">
        <w:rPr>
          <w:rFonts w:eastAsia="Times New Roman" w:cs="Times New Roman"/>
          <w:b/>
          <w:bCs/>
          <w:szCs w:val="24"/>
          <w:lang w:eastAsia="es-CO"/>
        </w:rPr>
        <w:t>:</w:t>
      </w:r>
      <w:r w:rsidRPr="00E66235">
        <w:rPr>
          <w:rFonts w:eastAsia="Times New Roman" w:cs="Times New Roman"/>
          <w:szCs w:val="24"/>
          <w:lang w:eastAsia="es-CO"/>
        </w:rPr>
        <w:t> Radicado 100083257 del 17/12/2018 y 100013287 del 27/02/2019</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Tema </w:t>
      </w:r>
      <w:r w:rsidRPr="00E66235">
        <w:rPr>
          <w:rFonts w:eastAsia="Times New Roman" w:cs="Times New Roman"/>
          <w:szCs w:val="24"/>
          <w:lang w:eastAsia="es-CO"/>
        </w:rPr>
        <w:t>Impuesto sobre la Renta y Complementarios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Descriptores </w:t>
      </w:r>
      <w:r w:rsidRPr="00E66235">
        <w:rPr>
          <w:rFonts w:eastAsia="Times New Roman" w:cs="Times New Roman"/>
          <w:szCs w:val="24"/>
          <w:lang w:eastAsia="es-CO"/>
        </w:rPr>
        <w:t>Deducciones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Fuentes formales </w:t>
      </w:r>
      <w:r w:rsidRPr="00E66235">
        <w:rPr>
          <w:rFonts w:eastAsia="Times New Roman" w:cs="Times New Roman"/>
          <w:szCs w:val="24"/>
          <w:lang w:eastAsia="es-CO"/>
        </w:rPr>
        <w:t>Arts. </w:t>
      </w:r>
      <w:hyperlink r:id="rId4" w:tooltip="Estatuto Tributario CETA" w:history="1">
        <w:r w:rsidRPr="00E66235">
          <w:rPr>
            <w:rFonts w:eastAsia="Times New Roman" w:cs="Times New Roman"/>
            <w:szCs w:val="24"/>
            <w:u w:val="single"/>
            <w:lang w:eastAsia="es-CO"/>
          </w:rPr>
          <w:t>27</w:t>
        </w:r>
      </w:hyperlink>
      <w:r w:rsidRPr="00E66235">
        <w:rPr>
          <w:rFonts w:eastAsia="Times New Roman" w:cs="Times New Roman"/>
          <w:szCs w:val="24"/>
          <w:lang w:eastAsia="es-CO"/>
        </w:rPr>
        <w:t>, </w:t>
      </w:r>
      <w:hyperlink r:id="rId5" w:tooltip="Estatuto Tributario CETA" w:history="1">
        <w:r w:rsidRPr="00E66235">
          <w:rPr>
            <w:rFonts w:eastAsia="Times New Roman" w:cs="Times New Roman"/>
            <w:szCs w:val="24"/>
            <w:u w:val="single"/>
            <w:lang w:eastAsia="es-CO"/>
          </w:rPr>
          <w:t>105</w:t>
        </w:r>
      </w:hyperlink>
      <w:r w:rsidRPr="00E66235">
        <w:rPr>
          <w:rFonts w:eastAsia="Times New Roman" w:cs="Times New Roman"/>
          <w:szCs w:val="24"/>
          <w:lang w:eastAsia="es-CO"/>
        </w:rPr>
        <w:t> </w:t>
      </w:r>
      <w:hyperlink r:id="rId6" w:tooltip="Estatuto Tributario CETA" w:history="1">
        <w:r w:rsidRPr="00E66235">
          <w:rPr>
            <w:rFonts w:eastAsia="Times New Roman" w:cs="Times New Roman"/>
            <w:szCs w:val="24"/>
            <w:u w:val="single"/>
            <w:lang w:eastAsia="es-CO"/>
          </w:rPr>
          <w:t>107</w:t>
        </w:r>
      </w:hyperlink>
      <w:r w:rsidRPr="00E66235">
        <w:rPr>
          <w:rFonts w:eastAsia="Times New Roman" w:cs="Times New Roman"/>
          <w:szCs w:val="24"/>
          <w:lang w:eastAsia="es-CO"/>
        </w:rPr>
        <w:t> del Estatuto Tributario</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xml:space="preserve">Cordial saludo, Sra. María </w:t>
      </w:r>
      <w:proofErr w:type="spellStart"/>
      <w:r w:rsidRPr="00E66235">
        <w:rPr>
          <w:rFonts w:eastAsia="Times New Roman" w:cs="Times New Roman"/>
          <w:szCs w:val="24"/>
          <w:lang w:eastAsia="es-CO"/>
        </w:rPr>
        <w:t>Kamila</w:t>
      </w:r>
      <w:proofErr w:type="spellEnd"/>
      <w:r w:rsidRPr="00E66235">
        <w:rPr>
          <w:rFonts w:eastAsia="Times New Roman" w:cs="Times New Roman"/>
          <w:szCs w:val="24"/>
          <w:lang w:eastAsia="es-CO"/>
        </w:rPr>
        <w:t>:</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Pregunta usted:</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1. Una expensa que resulta deducible por cumplir con los requisitos establecidos en el Estatuto Tributario para su deducción en el impuesto sobre la renta y complementarios es objeto de controversia entre las partes y su cuantificación final es dirimida en una condena, sentencia o laudo originado en proceso administrativo, judicial o arbitral, en ese caso el valor fijado por la justicia continúa siendo plenamente deducible para efectos del impuesto sobre la renta.</w:t>
      </w:r>
    </w:p>
    <w:p w:rsidR="00E66235" w:rsidRPr="00E66235" w:rsidRDefault="00E66235" w:rsidP="00E66235">
      <w:pPr>
        <w:spacing w:after="0" w:line="240" w:lineRule="auto"/>
        <w:jc w:val="both"/>
        <w:rPr>
          <w:rFonts w:eastAsia="Times New Roman" w:cs="Times New Roman"/>
          <w:szCs w:val="24"/>
          <w:lang w:eastAsia="es-CO"/>
        </w:rPr>
      </w:pP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2. Dado que la cuantificación de la expensa es objeto de un litigio y su valor solo se reconocerá con exactitud en el momento en que se produzca una condena de última instancia, se pregunta si la deducibilidad de dicha expensa se debe tomar en el período gravable en el cual se profiera el fallo de última instancia.</w:t>
      </w:r>
    </w:p>
    <w:p w:rsidR="00E66235" w:rsidRPr="00E66235" w:rsidRDefault="00E66235" w:rsidP="00E66235">
      <w:pPr>
        <w:spacing w:after="0" w:line="240" w:lineRule="auto"/>
        <w:jc w:val="both"/>
        <w:rPr>
          <w:rFonts w:eastAsia="Times New Roman" w:cs="Times New Roman"/>
          <w:szCs w:val="24"/>
          <w:lang w:eastAsia="es-CO"/>
        </w:rPr>
      </w:pP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3. Se consulta si la limitación establecida en el literal c) numeral 2 del </w:t>
      </w:r>
      <w:hyperlink r:id="rId7" w:tooltip="Estatuto Tributario CETA" w:history="1">
        <w:r w:rsidRPr="00E66235">
          <w:rPr>
            <w:rFonts w:eastAsia="Times New Roman" w:cs="Times New Roman"/>
            <w:szCs w:val="24"/>
            <w:u w:val="single"/>
            <w:lang w:eastAsia="es-CO"/>
          </w:rPr>
          <w:t>artículo 105</w:t>
        </w:r>
      </w:hyperlink>
      <w:r w:rsidRPr="00E66235">
        <w:rPr>
          <w:rFonts w:eastAsia="Times New Roman" w:cs="Times New Roman"/>
          <w:szCs w:val="24"/>
          <w:lang w:eastAsia="es-CO"/>
        </w:rPr>
        <w:t xml:space="preserve"> del Estatuto Tributario debe entenderse referida a la no deducibilidad de las multas, sanciones, penalidades e intereses moratorios de carácter sancionatorio que estén contenidas en las condenas provenientes de procesos administrativos, judiciales o arbitrales diferentes a las </w:t>
      </w:r>
      <w:proofErr w:type="spellStart"/>
      <w:r w:rsidRPr="00E66235">
        <w:rPr>
          <w:rFonts w:eastAsia="Times New Roman" w:cs="Times New Roman"/>
          <w:szCs w:val="24"/>
          <w:lang w:eastAsia="es-CO"/>
        </w:rPr>
        <w:t>laboraloes</w:t>
      </w:r>
      <w:proofErr w:type="spellEnd"/>
      <w:r w:rsidRPr="00E66235">
        <w:rPr>
          <w:rFonts w:eastAsia="Times New Roman" w:cs="Times New Roman"/>
          <w:szCs w:val="24"/>
          <w:lang w:eastAsia="es-CO"/>
        </w:rPr>
        <w:t xml:space="preserve"> (sic) o si por el contrario debe entenderse que cualquier tipo de concepto que se determine una de las condenas ya referidas perdería su carácter de deducible, aunque si se hubiese pagado sin necesidad de acudir a la justicia sí hubiese sido plenamente deducible.</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lastRenderedPageBreak/>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Para responder las preguntas 1, 2 y 3 se procederá a agruparlas en una sola, en razón a que en últimas la inquietud está dirigida a que se determine qué ocurre con las deducciones cuando son discutidas en proceso administrativo, judicial o arbitral y su valor fue fijado en fallo definitivo.</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A este respecto, se ha de precisar las condiciones contenidas en las normas tributarias para que un gasto sea deducible.</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El </w:t>
      </w:r>
      <w:hyperlink r:id="rId8" w:tooltip="Estatuto Tributario CETA" w:history="1">
        <w:r w:rsidRPr="00E66235">
          <w:rPr>
            <w:rFonts w:eastAsia="Times New Roman" w:cs="Times New Roman"/>
            <w:szCs w:val="24"/>
            <w:u w:val="single"/>
            <w:lang w:eastAsia="es-CO"/>
          </w:rPr>
          <w:t>artículo 107</w:t>
        </w:r>
      </w:hyperlink>
      <w:r w:rsidRPr="00E66235">
        <w:rPr>
          <w:rFonts w:eastAsia="Times New Roman" w:cs="Times New Roman"/>
          <w:szCs w:val="24"/>
          <w:lang w:eastAsia="es-CO"/>
        </w:rPr>
        <w:t> del Estatuto Tributario prevé:</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hyperlink r:id="rId9" w:tooltip="Estatuto Tributario CETA" w:history="1">
        <w:r w:rsidRPr="00E66235">
          <w:rPr>
            <w:rFonts w:eastAsia="Times New Roman" w:cs="Times New Roman"/>
            <w:b/>
            <w:bCs/>
            <w:i/>
            <w:iCs/>
            <w:szCs w:val="24"/>
            <w:u w:val="single"/>
            <w:lang w:eastAsia="es-CO"/>
          </w:rPr>
          <w:t>Art. 107</w:t>
        </w:r>
      </w:hyperlink>
      <w:r w:rsidRPr="00E66235">
        <w:rPr>
          <w:rFonts w:eastAsia="Times New Roman" w:cs="Times New Roman"/>
          <w:b/>
          <w:bCs/>
          <w:i/>
          <w:iCs/>
          <w:szCs w:val="24"/>
          <w:lang w:eastAsia="es-CO"/>
        </w:rPr>
        <w:t>. Las expensas necesarias son deducibles.</w:t>
      </w:r>
      <w:r w:rsidRPr="00E66235">
        <w:rPr>
          <w:rFonts w:eastAsia="Times New Roman" w:cs="Times New Roman"/>
          <w:i/>
          <w:iCs/>
          <w:szCs w:val="24"/>
          <w:lang w:eastAsia="es-CO"/>
        </w:rPr>
        <w:t> Son deducibles las expensas </w:t>
      </w:r>
      <w:r w:rsidRPr="00E66235">
        <w:rPr>
          <w:rFonts w:eastAsia="Times New Roman" w:cs="Times New Roman"/>
          <w:i/>
          <w:iCs/>
          <w:szCs w:val="24"/>
          <w:u w:val="single"/>
          <w:lang w:eastAsia="es-CO"/>
        </w:rPr>
        <w:t>realizadas durante el año o período gravable en el desarrollo de cualquier actividad productora de renta</w:t>
      </w:r>
      <w:r w:rsidRPr="00E66235">
        <w:rPr>
          <w:rFonts w:eastAsia="Times New Roman" w:cs="Times New Roman"/>
          <w:i/>
          <w:iCs/>
          <w:szCs w:val="24"/>
          <w:lang w:eastAsia="es-CO"/>
        </w:rPr>
        <w:t>, siempre que tengan relación de causalidad con las actividades productoras de renta y que sean necesarias y proporcionadas de acuerdo con cada actividad.”</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A su turno el </w:t>
      </w:r>
      <w:hyperlink r:id="rId10" w:tooltip="Estatuto Tributario CETA" w:history="1">
        <w:r w:rsidRPr="00E66235">
          <w:rPr>
            <w:rFonts w:eastAsia="Times New Roman" w:cs="Times New Roman"/>
            <w:szCs w:val="24"/>
            <w:u w:val="single"/>
            <w:lang w:eastAsia="es-CO"/>
          </w:rPr>
          <w:t>artículo 27</w:t>
        </w:r>
      </w:hyperlink>
      <w:r w:rsidRPr="00E66235">
        <w:rPr>
          <w:rFonts w:eastAsia="Times New Roman" w:cs="Times New Roman"/>
          <w:szCs w:val="24"/>
          <w:lang w:eastAsia="es-CO"/>
        </w:rPr>
        <w:t> ibídem dispone:</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o período gravable en que se realicen.</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Como se puede observar, salvo las excepciones fijadas en el Estatuto Tributario, los costos y gastos aceptados fiscalmente son los realizados durante el año o período gravable, en concordancia con el Art. </w:t>
      </w:r>
      <w:hyperlink r:id="rId11" w:tooltip="Estatuto Tributario CETA" w:history="1">
        <w:r w:rsidRPr="00E66235">
          <w:rPr>
            <w:rFonts w:eastAsia="Times New Roman" w:cs="Times New Roman"/>
            <w:szCs w:val="24"/>
            <w:u w:val="single"/>
            <w:lang w:eastAsia="es-CO"/>
          </w:rPr>
          <w:t>771-2</w:t>
        </w:r>
      </w:hyperlink>
      <w:r w:rsidRPr="00E66235">
        <w:rPr>
          <w:rFonts w:eastAsia="Times New Roman" w:cs="Times New Roman"/>
          <w:szCs w:val="24"/>
          <w:lang w:eastAsia="es-CO"/>
        </w:rPr>
        <w:t> y </w:t>
      </w:r>
      <w:hyperlink r:id="rId12" w:tooltip="Estatuto Tributario CETA" w:history="1">
        <w:r w:rsidRPr="00E66235">
          <w:rPr>
            <w:rFonts w:eastAsia="Times New Roman" w:cs="Times New Roman"/>
            <w:szCs w:val="24"/>
            <w:u w:val="single"/>
            <w:lang w:eastAsia="es-CO"/>
          </w:rPr>
          <w:t>771-5</w:t>
        </w:r>
      </w:hyperlink>
      <w:r w:rsidRPr="00E66235">
        <w:rPr>
          <w:rFonts w:eastAsia="Times New Roman" w:cs="Times New Roman"/>
          <w:szCs w:val="24"/>
          <w:lang w:eastAsia="es-CO"/>
        </w:rPr>
        <w:t> del E.T.</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Por otro lado, traemos a coalición la exposición de motivos del artículo 61 de la Ley 1819 de 2016:</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“Contrario a lo que sucede con el artículo de ingresos que busca ser lo más amplio posible, respetando siempre el principio de capacidad contributiva, este </w:t>
      </w:r>
      <w:hyperlink r:id="rId13" w:tooltip="Estatuto Tributario CETA" w:history="1">
        <w:r w:rsidRPr="00E66235">
          <w:rPr>
            <w:rFonts w:eastAsia="Times New Roman" w:cs="Times New Roman"/>
            <w:i/>
            <w:iCs/>
            <w:szCs w:val="24"/>
            <w:u w:val="single"/>
            <w:lang w:eastAsia="es-CO"/>
          </w:rPr>
          <w:t>artículo 105</w:t>
        </w:r>
      </w:hyperlink>
      <w:r w:rsidRPr="00E66235">
        <w:rPr>
          <w:rFonts w:eastAsia="Times New Roman" w:cs="Times New Roman"/>
          <w:i/>
          <w:iCs/>
          <w:szCs w:val="24"/>
          <w:lang w:eastAsia="es-CO"/>
        </w:rPr>
        <w:t> propuesto, busca ser los más preciso posible respecto de los gastos que se aceptan para efectos fiscales. </w:t>
      </w:r>
      <w:r w:rsidRPr="00E66235">
        <w:rPr>
          <w:rFonts w:eastAsia="Times New Roman" w:cs="Times New Roman"/>
          <w:b/>
          <w:bCs/>
          <w:i/>
          <w:iCs/>
          <w:szCs w:val="24"/>
          <w:u w:val="single"/>
          <w:lang w:eastAsia="es-CO"/>
        </w:rPr>
        <w:t>En este sentido, en términos generales, los gastos devengados contablemente procederán para efectos fiscales siempre que reúnan las siguientes dos condiciones: 1. Estén realizados para efectos fiscales</w:t>
      </w:r>
      <w:r w:rsidRPr="00E66235">
        <w:rPr>
          <w:rFonts w:eastAsia="Times New Roman" w:cs="Times New Roman"/>
          <w:b/>
          <w:bCs/>
          <w:i/>
          <w:iCs/>
          <w:szCs w:val="24"/>
          <w:lang w:eastAsia="es-CO"/>
        </w:rPr>
        <w:t> </w:t>
      </w:r>
      <w:r w:rsidRPr="00E66235">
        <w:rPr>
          <w:rFonts w:eastAsia="Times New Roman" w:cs="Times New Roman"/>
          <w:i/>
          <w:iCs/>
          <w:szCs w:val="24"/>
          <w:lang w:eastAsia="es-CO"/>
        </w:rPr>
        <w:t>y 2. Que se cumplan con los requisitos para su procedencia de conformidad con las reglas previstas en el estatuto tributario. Este artículo cuenta con dos numerales en los que señalan algunas diferencias temporarias (i.e. aquellas que generan activos o pasivos por impuestos diferidos) y otras que son diferencias permanentes (i.e. aquellas que nunca se revierten y, en consecuencia, no generan activos ni pasivos por impuestos diferidos).</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r w:rsidRPr="00E66235">
        <w:rPr>
          <w:rFonts w:eastAsia="Times New Roman" w:cs="Times New Roman"/>
          <w:b/>
          <w:bCs/>
          <w:i/>
          <w:iCs/>
          <w:szCs w:val="24"/>
          <w:u w:val="single"/>
          <w:lang w:eastAsia="es-CO"/>
        </w:rPr>
        <w:t>Como regla general, los gastos que no cumplan con los requisitos previstos por el estatuto tributario, generarían diferencias permanentes</w:t>
      </w:r>
      <w:r w:rsidRPr="00E66235">
        <w:rPr>
          <w:rFonts w:eastAsia="Times New Roman" w:cs="Times New Roman"/>
          <w:b/>
          <w:bCs/>
          <w:i/>
          <w:iCs/>
          <w:szCs w:val="24"/>
          <w:lang w:eastAsia="es-CO"/>
        </w:rPr>
        <w:t>, </w:t>
      </w:r>
      <w:r w:rsidRPr="00E66235">
        <w:rPr>
          <w:rFonts w:eastAsia="Times New Roman" w:cs="Times New Roman"/>
          <w:i/>
          <w:iCs/>
          <w:szCs w:val="24"/>
          <w:lang w:eastAsia="es-CO"/>
        </w:rPr>
        <w:t>es decir, aquellas que en ningún momento se van a reversar.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De lo transcrito anteriormente, se recalca que para que un gasto se (sic) procedente o aceptado fiscalmente deberá cumplir con los requisitos generales previsto en el Estatuto Tributario y adicionalmente que sean realizados fiscalmente. Ahora bien, el </w:t>
      </w:r>
      <w:hyperlink r:id="rId14" w:tooltip="Estatuto Tributario CETA" w:history="1">
        <w:r w:rsidRPr="00E66235">
          <w:rPr>
            <w:rFonts w:eastAsia="Times New Roman" w:cs="Times New Roman"/>
            <w:szCs w:val="24"/>
            <w:u w:val="single"/>
            <w:lang w:eastAsia="es-CO"/>
          </w:rPr>
          <w:t>artículo 105</w:t>
        </w:r>
      </w:hyperlink>
      <w:r w:rsidRPr="00E66235">
        <w:rPr>
          <w:rFonts w:eastAsia="Times New Roman" w:cs="Times New Roman"/>
          <w:szCs w:val="24"/>
          <w:lang w:eastAsia="es-CO"/>
        </w:rPr>
        <w:t> indica expresamente qué partidas son consideradas como no deducibles, considerando que generan diferencias permanentes, independientemente del estudio de necesidad, proporcionalidad y causalidad consagrado en el </w:t>
      </w:r>
      <w:hyperlink r:id="rId15" w:tooltip="Estatuto Tributario CETA" w:history="1">
        <w:r w:rsidRPr="00E66235">
          <w:rPr>
            <w:rFonts w:eastAsia="Times New Roman" w:cs="Times New Roman"/>
            <w:szCs w:val="24"/>
            <w:u w:val="single"/>
            <w:lang w:eastAsia="es-CO"/>
          </w:rPr>
          <w:t>artículo 107</w:t>
        </w:r>
      </w:hyperlink>
      <w:r w:rsidRPr="00E66235">
        <w:rPr>
          <w:rFonts w:eastAsia="Times New Roman" w:cs="Times New Roman"/>
          <w:szCs w:val="24"/>
          <w:lang w:eastAsia="es-CO"/>
        </w:rPr>
        <w:t> del Estatuto Tributario, entre estos, </w:t>
      </w:r>
      <w:r w:rsidRPr="00E66235">
        <w:rPr>
          <w:rFonts w:eastAsia="Times New Roman" w:cs="Times New Roman"/>
          <w:b/>
          <w:bCs/>
          <w:i/>
          <w:iCs/>
          <w:szCs w:val="24"/>
          <w:lang w:eastAsia="es-CO"/>
        </w:rPr>
        <w:t xml:space="preserve">“las multas, sanciones, penalidades, intereses moratorios de carácter sancionatorio y las condenas provenientes de procesos administrativos, judiciales o arbitrales diferentes </w:t>
      </w:r>
      <w:r w:rsidRPr="00E66235">
        <w:rPr>
          <w:rFonts w:eastAsia="Times New Roman" w:cs="Times New Roman"/>
          <w:b/>
          <w:bCs/>
          <w:i/>
          <w:iCs/>
          <w:szCs w:val="24"/>
          <w:lang w:eastAsia="es-CO"/>
        </w:rPr>
        <w:lastRenderedPageBreak/>
        <w:t>a las labores con sujeción a los previstos en el numeral 3 del </w:t>
      </w:r>
      <w:hyperlink r:id="rId16" w:tooltip="Estatuto Tributario CETA" w:history="1">
        <w:r w:rsidRPr="00E66235">
          <w:rPr>
            <w:rFonts w:eastAsia="Times New Roman" w:cs="Times New Roman"/>
            <w:b/>
            <w:bCs/>
            <w:i/>
            <w:iCs/>
            <w:szCs w:val="24"/>
            <w:u w:val="single"/>
            <w:lang w:eastAsia="es-CO"/>
          </w:rPr>
          <w:t>artículo 107-1</w:t>
        </w:r>
      </w:hyperlink>
      <w:r w:rsidRPr="00E66235">
        <w:rPr>
          <w:rFonts w:eastAsia="Times New Roman" w:cs="Times New Roman"/>
          <w:b/>
          <w:bCs/>
          <w:i/>
          <w:iCs/>
          <w:szCs w:val="24"/>
          <w:lang w:eastAsia="es-CO"/>
        </w:rPr>
        <w:t> de este estatuto”.</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En virtud de lo anterior las diferencias permanentes, son aquellos gastos contables que no resultan deducibles para efectos fiscales, en ningún período fiscal presente o posterior. Por lo tanto, un expensa o gasto que es objeto de controversia y su cuantificación es dirimida en una condena, sentencia o laudo originado en proceso administrativo, judicial o arbitral no cumple con los requisitos para su deducción y generará una diferencia permanente, por lo cual no se entenderá realizada para efectos fiscales.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Lo anterior se desprende al realizar una interpretación literal, (en los términos del artículo 27 del código civil colombiano), del </w:t>
      </w:r>
      <w:hyperlink r:id="rId17" w:tooltip="Estatuto Tributario CETA" w:history="1">
        <w:r w:rsidRPr="00E66235">
          <w:rPr>
            <w:rFonts w:eastAsia="Times New Roman" w:cs="Times New Roman"/>
            <w:szCs w:val="24"/>
            <w:u w:val="single"/>
            <w:lang w:eastAsia="es-CO"/>
          </w:rPr>
          <w:t>artículo 105</w:t>
        </w:r>
      </w:hyperlink>
      <w:r w:rsidRPr="00E66235">
        <w:rPr>
          <w:rFonts w:eastAsia="Times New Roman" w:cs="Times New Roman"/>
          <w:szCs w:val="24"/>
          <w:lang w:eastAsia="es-CO"/>
        </w:rPr>
        <w:t> del estatuto tributario el cual indica lo siguiente:</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b/>
          <w:bCs/>
          <w:i/>
          <w:iCs/>
          <w:szCs w:val="24"/>
          <w:lang w:eastAsia="es-CO"/>
        </w:rPr>
        <w:t>“2. Los gastos que no cumplan con los requisitos establecidos en este estatuto para su deducción en el impuesto sobre la renta y complementarios, generarán diferencias permanentes. </w:t>
      </w:r>
      <w:r w:rsidRPr="00E66235">
        <w:rPr>
          <w:rFonts w:eastAsia="Times New Roman" w:cs="Times New Roman"/>
          <w:b/>
          <w:bCs/>
          <w:i/>
          <w:iCs/>
          <w:szCs w:val="24"/>
          <w:u w:val="single"/>
          <w:lang w:eastAsia="es-CO"/>
        </w:rPr>
        <w:t>Dichos gastos comprenden</w:t>
      </w:r>
      <w:r w:rsidRPr="00E66235">
        <w:rPr>
          <w:rFonts w:eastAsia="Times New Roman" w:cs="Times New Roman"/>
          <w:b/>
          <w:bCs/>
          <w:i/>
          <w:iCs/>
          <w:szCs w:val="24"/>
          <w:lang w:eastAsia="es-CO"/>
        </w:rPr>
        <w:t>, </w:t>
      </w:r>
      <w:r w:rsidRPr="00E66235">
        <w:rPr>
          <w:rFonts w:eastAsia="Times New Roman" w:cs="Times New Roman"/>
          <w:i/>
          <w:iCs/>
          <w:szCs w:val="24"/>
          <w:lang w:eastAsia="es-CO"/>
        </w:rPr>
        <w:t>entre otros:</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 </w:t>
      </w: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a. Las deducciones devengadas por concepto de la aplicación del método de participación patrimonial, incluyendo las pérdidas, de conformidad con los marcos técnicos normativos contables.</w:t>
      </w:r>
    </w:p>
    <w:p w:rsidR="00E66235" w:rsidRPr="00E66235" w:rsidRDefault="00E66235" w:rsidP="00E66235">
      <w:pPr>
        <w:spacing w:after="0" w:line="240" w:lineRule="auto"/>
        <w:ind w:left="180"/>
        <w:jc w:val="both"/>
        <w:rPr>
          <w:rFonts w:eastAsia="Times New Roman" w:cs="Times New Roman"/>
          <w:i/>
          <w:iCs/>
          <w:szCs w:val="24"/>
          <w:lang w:eastAsia="es-CO"/>
        </w:rPr>
      </w:pP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b. El impuesto sobre la renta y complementarios y los impuestos no comprendidos en el </w:t>
      </w:r>
      <w:hyperlink r:id="rId18" w:tooltip="Estatuto Tributario CETA" w:history="1">
        <w:r w:rsidRPr="00E66235">
          <w:rPr>
            <w:rFonts w:eastAsia="Times New Roman" w:cs="Times New Roman"/>
            <w:i/>
            <w:iCs/>
            <w:szCs w:val="24"/>
            <w:u w:val="single"/>
            <w:lang w:eastAsia="es-CO"/>
          </w:rPr>
          <w:t>artículo 115</w:t>
        </w:r>
      </w:hyperlink>
      <w:r w:rsidRPr="00E66235">
        <w:rPr>
          <w:rFonts w:eastAsia="Times New Roman" w:cs="Times New Roman"/>
          <w:i/>
          <w:iCs/>
          <w:szCs w:val="24"/>
          <w:lang w:eastAsia="es-CO"/>
        </w:rPr>
        <w:t> de este estatuto.</w:t>
      </w:r>
    </w:p>
    <w:p w:rsidR="00E66235" w:rsidRPr="00E66235" w:rsidRDefault="00E66235" w:rsidP="00E66235">
      <w:pPr>
        <w:spacing w:after="0" w:line="240" w:lineRule="auto"/>
        <w:ind w:left="180"/>
        <w:jc w:val="both"/>
        <w:rPr>
          <w:rFonts w:eastAsia="Times New Roman" w:cs="Times New Roman"/>
          <w:i/>
          <w:iCs/>
          <w:szCs w:val="24"/>
          <w:lang w:eastAsia="es-CO"/>
        </w:rPr>
      </w:pP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c. Las multas, sanciones, penalidades, intereses moratorios de carácter sancionatorio y </w:t>
      </w:r>
      <w:r w:rsidRPr="00E66235">
        <w:rPr>
          <w:rFonts w:eastAsia="Times New Roman" w:cs="Times New Roman"/>
          <w:b/>
          <w:bCs/>
          <w:i/>
          <w:iCs/>
          <w:szCs w:val="24"/>
          <w:u w:val="single"/>
          <w:lang w:eastAsia="es-CO"/>
        </w:rPr>
        <w:t>las condenas provenientes de procesos administrativos, judiciales o arbitrales</w:t>
      </w:r>
      <w:r w:rsidRPr="00E66235">
        <w:rPr>
          <w:rFonts w:eastAsia="Times New Roman" w:cs="Times New Roman"/>
          <w:b/>
          <w:bCs/>
          <w:i/>
          <w:iCs/>
          <w:szCs w:val="24"/>
          <w:lang w:eastAsia="es-CO"/>
        </w:rPr>
        <w:t> </w:t>
      </w:r>
      <w:r w:rsidRPr="00E66235">
        <w:rPr>
          <w:rFonts w:eastAsia="Times New Roman" w:cs="Times New Roman"/>
          <w:i/>
          <w:iCs/>
          <w:szCs w:val="24"/>
          <w:lang w:eastAsia="es-CO"/>
        </w:rPr>
        <w:t>diferentes a las laborales con sujeción a lo prevista (sic) en el numeral 3 del </w:t>
      </w:r>
      <w:hyperlink r:id="rId19" w:tooltip="Estatuto Tributario CETA" w:history="1">
        <w:r w:rsidRPr="00E66235">
          <w:rPr>
            <w:rFonts w:eastAsia="Times New Roman" w:cs="Times New Roman"/>
            <w:i/>
            <w:iCs/>
            <w:szCs w:val="24"/>
            <w:u w:val="single"/>
            <w:lang w:eastAsia="es-CO"/>
          </w:rPr>
          <w:t>artículo 107-1</w:t>
        </w:r>
      </w:hyperlink>
      <w:r w:rsidRPr="00E66235">
        <w:rPr>
          <w:rFonts w:eastAsia="Times New Roman" w:cs="Times New Roman"/>
          <w:i/>
          <w:iCs/>
          <w:szCs w:val="24"/>
          <w:lang w:eastAsia="es-CO"/>
        </w:rPr>
        <w:t> de este estatuto.</w:t>
      </w:r>
    </w:p>
    <w:p w:rsidR="00E66235" w:rsidRPr="00E66235" w:rsidRDefault="00E66235" w:rsidP="00E66235">
      <w:pPr>
        <w:spacing w:after="0" w:line="240" w:lineRule="auto"/>
        <w:ind w:left="180"/>
        <w:jc w:val="both"/>
        <w:rPr>
          <w:rFonts w:eastAsia="Times New Roman" w:cs="Times New Roman"/>
          <w:i/>
          <w:iCs/>
          <w:szCs w:val="24"/>
          <w:lang w:eastAsia="es-CO"/>
        </w:rPr>
      </w:pP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d. Las distribuciones de dividendos.</w:t>
      </w:r>
    </w:p>
    <w:p w:rsidR="00E66235" w:rsidRPr="00E66235" w:rsidRDefault="00E66235" w:rsidP="00E66235">
      <w:pPr>
        <w:spacing w:after="0" w:line="240" w:lineRule="auto"/>
        <w:ind w:left="180"/>
        <w:jc w:val="both"/>
        <w:rPr>
          <w:rFonts w:eastAsia="Times New Roman" w:cs="Times New Roman"/>
          <w:i/>
          <w:iCs/>
          <w:szCs w:val="24"/>
          <w:lang w:eastAsia="es-CO"/>
        </w:rPr>
      </w:pPr>
    </w:p>
    <w:p w:rsidR="00E66235" w:rsidRPr="00E66235" w:rsidRDefault="00E66235" w:rsidP="00E66235">
      <w:pPr>
        <w:spacing w:after="0" w:line="240" w:lineRule="auto"/>
        <w:ind w:left="180"/>
        <w:jc w:val="both"/>
        <w:rPr>
          <w:rFonts w:eastAsia="Times New Roman" w:cs="Times New Roman"/>
          <w:szCs w:val="24"/>
          <w:lang w:eastAsia="es-CO"/>
        </w:rPr>
      </w:pPr>
      <w:r w:rsidRPr="00E66235">
        <w:rPr>
          <w:rFonts w:eastAsia="Times New Roman" w:cs="Times New Roman"/>
          <w:i/>
          <w:iCs/>
          <w:szCs w:val="24"/>
          <w:lang w:eastAsia="es-CO"/>
        </w:rPr>
        <w:t>e. Los impuestos asumidos de terceros.”</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Atentamente,</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 </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b/>
          <w:bCs/>
          <w:szCs w:val="24"/>
          <w:lang w:eastAsia="es-CO"/>
        </w:rPr>
        <w:t>LORENZO CASTILLO BARVO</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Subdirector de Gestión Normativa y Doctrina (E)</w:t>
      </w:r>
    </w:p>
    <w:p w:rsidR="00E66235" w:rsidRPr="00E66235" w:rsidRDefault="00E66235" w:rsidP="00E66235">
      <w:pPr>
        <w:spacing w:after="0" w:line="240" w:lineRule="auto"/>
        <w:jc w:val="both"/>
        <w:rPr>
          <w:rFonts w:eastAsia="Times New Roman" w:cs="Times New Roman"/>
          <w:szCs w:val="24"/>
          <w:lang w:eastAsia="es-CO"/>
        </w:rPr>
      </w:pPr>
      <w:r w:rsidRPr="00E66235">
        <w:rPr>
          <w:rFonts w:eastAsia="Times New Roman" w:cs="Times New Roman"/>
          <w:szCs w:val="24"/>
          <w:lang w:eastAsia="es-CO"/>
        </w:rPr>
        <w:t>Dirección de Gestión Jurídica</w:t>
      </w:r>
    </w:p>
    <w:p w:rsidR="00730617" w:rsidRPr="00E66235" w:rsidRDefault="00730617">
      <w:pPr>
        <w:rPr>
          <w:rFonts w:cs="Times New Roman"/>
          <w:szCs w:val="24"/>
        </w:rPr>
      </w:pPr>
    </w:p>
    <w:sectPr w:rsidR="00730617" w:rsidRPr="00E6623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35"/>
    <w:rsid w:val="00730617"/>
    <w:rsid w:val="00A45230"/>
    <w:rsid w:val="00E66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CF6F"/>
  <w15:chartTrackingRefBased/>
  <w15:docId w15:val="{1140528C-02DD-4891-97EB-B921C551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153" TargetMode="External"/><Relationship Id="rId18" Type="http://schemas.openxmlformats.org/officeDocument/2006/relationships/hyperlink" Target="https://www.ceta.org.co/html/vista_de_un_articulo.asp?Norma=16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153" TargetMode="External"/><Relationship Id="rId12" Type="http://schemas.openxmlformats.org/officeDocument/2006/relationships/hyperlink" Target="https://www.ceta.org.co/html/vista_de_un_articulo.asp?Norma=26863" TargetMode="External"/><Relationship Id="rId17" Type="http://schemas.openxmlformats.org/officeDocument/2006/relationships/hyperlink" Target="https://www.ceta.org.co/html/vista_de_un_articulo.asp?Norma=153"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7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articulo.asp?Norma=957" TargetMode="External"/><Relationship Id="rId5" Type="http://schemas.openxmlformats.org/officeDocument/2006/relationships/hyperlink" Target="https://www.ceta.org.co/html/vista_de_un_articulo.asp?Norma=153" TargetMode="External"/><Relationship Id="rId15" Type="http://schemas.openxmlformats.org/officeDocument/2006/relationships/hyperlink" Target="https://www.ceta.org.co/html/vista_de_un_articulo.asp?Norma=155" TargetMode="External"/><Relationship Id="rId10" Type="http://schemas.openxmlformats.org/officeDocument/2006/relationships/hyperlink" Target="https://www.ceta.org.co/html/vista_de_un_articulo.asp?Norma=57" TargetMode="External"/><Relationship Id="rId19" Type="http://schemas.openxmlformats.org/officeDocument/2006/relationships/hyperlink" Target="https://www.ceta.org.co/html/vista_de_un_articulo.asp?Norma=42479" TargetMode="External"/><Relationship Id="rId4" Type="http://schemas.openxmlformats.org/officeDocument/2006/relationships/hyperlink" Target="https://www.ceta.org.co/html/vista_de_un_articulo.asp?Norma=57" TargetMode="External"/><Relationship Id="rId9" Type="http://schemas.openxmlformats.org/officeDocument/2006/relationships/hyperlink" Target="https://www.ceta.org.co/html/vista_de_un_articulo.asp?Norma=155" TargetMode="External"/><Relationship Id="rId14" Type="http://schemas.openxmlformats.org/officeDocument/2006/relationships/hyperlink" Target="https://www.ceta.org.co/html/vista_de_un_articulo.asp?Norma=1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1538</Words>
  <Characters>8464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2019-05-23T00:35:00Z</dcterms:created>
  <dcterms:modified xsi:type="dcterms:W3CDTF">2019-05-23T00:38:00Z</dcterms:modified>
</cp:coreProperties>
</file>